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1930" w14:textId="77777777" w:rsidR="00AB1F68" w:rsidRDefault="004305C6" w:rsidP="00E86746">
      <w:pPr>
        <w:pStyle w:val="Subtitle"/>
      </w:pPr>
      <w:r>
        <w:t xml:space="preserve"> </w:t>
      </w:r>
    </w:p>
    <w:p w14:paraId="45E23B2D" w14:textId="77777777" w:rsidR="00AB1F68" w:rsidRDefault="004305C6">
      <w:pPr>
        <w:spacing w:after="122" w:line="259" w:lineRule="auto"/>
        <w:ind w:left="0" w:right="3" w:firstLine="0"/>
        <w:jc w:val="center"/>
      </w:pPr>
      <w:r>
        <w:rPr>
          <w:b/>
          <w:sz w:val="24"/>
        </w:rPr>
        <w:t xml:space="preserve">Dermal Filler Pre-&amp; Post Treatment Plan </w:t>
      </w:r>
    </w:p>
    <w:p w14:paraId="1305070A" w14:textId="77777777" w:rsidR="00AB1F68" w:rsidRDefault="004305C6" w:rsidP="00E86746">
      <w:pPr>
        <w:pStyle w:val="Subtitle"/>
      </w:pPr>
      <w:r>
        <w:t xml:space="preserve">Patient: ___________________________________________________________________ </w:t>
      </w:r>
    </w:p>
    <w:p w14:paraId="42EBCE5E" w14:textId="77777777" w:rsidR="00AB1F68" w:rsidRDefault="004305C6" w:rsidP="00E86746">
      <w:pPr>
        <w:pStyle w:val="Subtitle"/>
      </w:pPr>
      <w:r w:rsidRPr="00E86746">
        <w:rPr>
          <w:rFonts w:ascii="Arial" w:eastAsia="Arial" w:hAnsi="Arial" w:cs="Arial"/>
          <w:b/>
          <w:highlight w:val="yellow"/>
          <w:shd w:val="clear" w:color="auto" w:fill="D9D9D9"/>
        </w:rPr>
        <w:t>Pre-Treatment Instructions:</w:t>
      </w:r>
      <w:r>
        <w:rPr>
          <w:rFonts w:ascii="Arial" w:eastAsia="Arial" w:hAnsi="Arial" w:cs="Arial"/>
          <w:b/>
        </w:rPr>
        <w:t xml:space="preserve"> </w:t>
      </w:r>
    </w:p>
    <w:p w14:paraId="6B58CDC7" w14:textId="0484D7D5" w:rsidR="00AB1F68" w:rsidRDefault="004305C6" w:rsidP="00E86746">
      <w:pPr>
        <w:pStyle w:val="Subtitle"/>
      </w:pPr>
      <w:r>
        <w:t xml:space="preserve">To decrease bruising, take Arnica Montana 12C (under the tongue) 3 times a day for 2 days prior to injection, then continue for 5 days after treatment.  Arnica cream can be applied topically for facial bruising post treatment. </w:t>
      </w:r>
      <w:r w:rsidR="00E86746">
        <w:t>Bromelain capsules 500mg 1 time a day for 7 days prior and 7 days post treatment.</w:t>
      </w:r>
      <w:r>
        <w:rPr>
          <w:rFonts w:ascii="Arial" w:eastAsia="Arial" w:hAnsi="Arial" w:cs="Arial"/>
          <w:b/>
        </w:rPr>
        <w:t xml:space="preserve"> </w:t>
      </w:r>
    </w:p>
    <w:p w14:paraId="48DB3F22" w14:textId="77777777" w:rsidR="00AB1F68" w:rsidRDefault="004305C6" w:rsidP="00E86746">
      <w:pPr>
        <w:pStyle w:val="Subtitle"/>
      </w:pPr>
      <w:r>
        <w:t>If you have previously suff</w:t>
      </w:r>
      <w:r>
        <w:t>ered from facial cold sores, there is a risk that the needle punctures could contribute to another reoccurrence.  Speak to your medical provider about medications that may minimize a reoccurrence.</w:t>
      </w:r>
      <w:r>
        <w:rPr>
          <w:rFonts w:ascii="Arial" w:eastAsia="Arial" w:hAnsi="Arial" w:cs="Arial"/>
          <w:b/>
        </w:rPr>
        <w:t xml:space="preserve"> </w:t>
      </w:r>
    </w:p>
    <w:p w14:paraId="1E11CE4D" w14:textId="0DE3B5C8" w:rsidR="00AB1F68" w:rsidRDefault="004305C6" w:rsidP="00E86746">
      <w:pPr>
        <w:pStyle w:val="Subtitle"/>
      </w:pPr>
      <w:r>
        <w:t>Avoid taking aspirin, non-steroidal anti-inflammatory medi</w:t>
      </w:r>
      <w:r>
        <w:t>cations, St. John’s Wort, garlic supplements, Gin</w:t>
      </w:r>
      <w:r w:rsidR="00E86746">
        <w:t>g</w:t>
      </w:r>
      <w:r>
        <w:t>ko</w:t>
      </w:r>
      <w:r w:rsidR="00E86746">
        <w:t xml:space="preserve"> Biloba</w:t>
      </w:r>
      <w:r>
        <w:t>, and high doses of vitamin E supplements for one week before treatment and 48 hours after treatment to reduce the risk of bruising and bleeding at the injection site.</w:t>
      </w:r>
      <w:r w:rsidR="00E86746">
        <w:t xml:space="preserve"> Refrain from drinking alcohol 24 hours before treatment and 24 hours post treatment.</w:t>
      </w:r>
      <w:r>
        <w:rPr>
          <w:rFonts w:ascii="Arial" w:eastAsia="Arial" w:hAnsi="Arial" w:cs="Arial"/>
          <w:b/>
        </w:rPr>
        <w:t xml:space="preserve"> </w:t>
      </w:r>
    </w:p>
    <w:p w14:paraId="2C24165F" w14:textId="77777777" w:rsidR="00AB1F68" w:rsidRDefault="004305C6" w:rsidP="00E86746">
      <w:pPr>
        <w:pStyle w:val="Subtitle"/>
      </w:pPr>
      <w:r>
        <w:t>Inform us of any changes in your med</w:t>
      </w:r>
      <w:r>
        <w:t>ical history since your last visit.</w:t>
      </w:r>
      <w:r>
        <w:rPr>
          <w:rFonts w:ascii="Arial" w:eastAsia="Arial" w:hAnsi="Arial" w:cs="Arial"/>
          <w:b/>
        </w:rPr>
        <w:t xml:space="preserve"> </w:t>
      </w:r>
    </w:p>
    <w:p w14:paraId="7F7B0F67" w14:textId="77777777" w:rsidR="00AB1F68" w:rsidRDefault="004305C6" w:rsidP="00E86746">
      <w:pPr>
        <w:pStyle w:val="Subtitle"/>
      </w:pPr>
      <w:r>
        <w:rPr>
          <w:rFonts w:ascii="Arial" w:eastAsia="Arial" w:hAnsi="Arial" w:cs="Arial"/>
          <w:b/>
        </w:rPr>
        <w:t xml:space="preserve"> </w:t>
      </w:r>
    </w:p>
    <w:p w14:paraId="1C04FB1D" w14:textId="77777777" w:rsidR="00E86746" w:rsidRDefault="004305C6" w:rsidP="00E86746">
      <w:pPr>
        <w:pStyle w:val="Subtitle"/>
        <w:rPr>
          <w:rFonts w:ascii="Arial" w:eastAsia="Arial" w:hAnsi="Arial" w:cs="Arial"/>
          <w:b/>
          <w:shd w:val="clear" w:color="auto" w:fill="D9D9D9"/>
        </w:rPr>
      </w:pPr>
      <w:r w:rsidRPr="00E86746">
        <w:rPr>
          <w:rFonts w:ascii="Arial" w:eastAsia="Arial" w:hAnsi="Arial" w:cs="Arial"/>
          <w:b/>
          <w:highlight w:val="yellow"/>
          <w:shd w:val="clear" w:color="auto" w:fill="D9D9D9"/>
        </w:rPr>
        <w:t>Post Treatment Instructions:</w:t>
      </w:r>
    </w:p>
    <w:p w14:paraId="33E94845" w14:textId="378247B0" w:rsidR="00E86746" w:rsidRDefault="004305C6" w:rsidP="00E86746">
      <w:pPr>
        <w:pStyle w:val="Subtitle"/>
      </w:pPr>
      <w:r>
        <w:t xml:space="preserve"> </w:t>
      </w:r>
      <w:r w:rsidR="00E86746">
        <w:t xml:space="preserve">Immediately after treatment, the </w:t>
      </w:r>
      <w:proofErr w:type="gramStart"/>
      <w:r w:rsidR="00E86746">
        <w:t>most commonly reported</w:t>
      </w:r>
      <w:proofErr w:type="gramEnd"/>
      <w:r w:rsidR="00E86746">
        <w:t xml:space="preserve"> side effects are temporary redness, swelling and tenderness to the treated areas.  These reactions are normal and do resolve within two to three days.</w:t>
      </w:r>
      <w:r w:rsidR="00E86746">
        <w:rPr>
          <w:rFonts w:ascii="Arial" w:eastAsia="Arial" w:hAnsi="Arial" w:cs="Arial"/>
          <w:b/>
        </w:rPr>
        <w:t xml:space="preserve"> </w:t>
      </w:r>
    </w:p>
    <w:p w14:paraId="1786420E" w14:textId="77777777" w:rsidR="00E86746" w:rsidRDefault="00E86746" w:rsidP="00E86746">
      <w:pPr>
        <w:pStyle w:val="Subtitle"/>
      </w:pPr>
      <w:r>
        <w:t>Cold compresses may be used immediately after treatment to reduce swelling.  If the inconvenience continues beyond two to three days or if other reactions occur, please contact your medical provider.</w:t>
      </w:r>
      <w:r>
        <w:rPr>
          <w:rFonts w:ascii="Arial" w:eastAsia="Arial" w:hAnsi="Arial" w:cs="Arial"/>
          <w:b/>
        </w:rPr>
        <w:t xml:space="preserve"> </w:t>
      </w:r>
    </w:p>
    <w:p w14:paraId="14A0D567" w14:textId="77777777" w:rsidR="00E86746" w:rsidRDefault="00E86746" w:rsidP="00E86746">
      <w:pPr>
        <w:pStyle w:val="Subtitle"/>
      </w:pPr>
      <w:r>
        <w:t>Avoid touching the treated area within six hours following the treatment.  After that, the area can be gently cleaned with soap and water.</w:t>
      </w:r>
      <w:r>
        <w:rPr>
          <w:rFonts w:ascii="Arial" w:eastAsia="Arial" w:hAnsi="Arial" w:cs="Arial"/>
          <w:b/>
        </w:rPr>
        <w:t xml:space="preserve"> </w:t>
      </w:r>
    </w:p>
    <w:p w14:paraId="79277A60" w14:textId="77777777" w:rsidR="00E86746" w:rsidRDefault="00E86746" w:rsidP="00E86746">
      <w:pPr>
        <w:pStyle w:val="Subtitle"/>
      </w:pPr>
      <w:r>
        <w:t>Until the initial redness and swelling have resolved, avoid exposure of the treated area to intense heat (sun tanning, outdoor gardening, working out)</w:t>
      </w:r>
      <w:r>
        <w:rPr>
          <w:rFonts w:ascii="Arial" w:eastAsia="Arial" w:hAnsi="Arial" w:cs="Arial"/>
          <w:b/>
        </w:rPr>
        <w:t xml:space="preserve"> </w:t>
      </w:r>
    </w:p>
    <w:p w14:paraId="7A8EAA49" w14:textId="77777777" w:rsidR="00E86746" w:rsidRDefault="00E86746" w:rsidP="00E86746">
      <w:pPr>
        <w:pStyle w:val="Subtitle"/>
      </w:pPr>
      <w:r>
        <w:t>Avoid using cosmetics, moisturizers and active products containing AHA (alpha Hydroxyl Acids/Glycolic), BHA (Beta Hydroxyl Acids), or Retinoid gels or creams on the treated area for six hours.</w:t>
      </w:r>
      <w:r>
        <w:rPr>
          <w:rFonts w:ascii="Arial" w:eastAsia="Arial" w:hAnsi="Arial" w:cs="Arial"/>
          <w:b/>
        </w:rPr>
        <w:t xml:space="preserve"> </w:t>
      </w:r>
    </w:p>
    <w:p w14:paraId="4E27A4A3" w14:textId="77777777" w:rsidR="00E86746" w:rsidRDefault="00E86746" w:rsidP="00E86746">
      <w:pPr>
        <w:pStyle w:val="Subtitle"/>
      </w:pPr>
      <w:r>
        <w:t>Avoid exercise, alcohol and extremes of hot and cold for 24 hours’ post-treatment.</w:t>
      </w:r>
      <w:r>
        <w:rPr>
          <w:rFonts w:ascii="Arial" w:eastAsia="Arial" w:hAnsi="Arial" w:cs="Arial"/>
          <w:b/>
        </w:rPr>
        <w:t xml:space="preserve"> </w:t>
      </w:r>
    </w:p>
    <w:p w14:paraId="61E3CD44" w14:textId="77777777" w:rsidR="00E86746" w:rsidRDefault="00E86746" w:rsidP="00E86746">
      <w:pPr>
        <w:pStyle w:val="Subtitle"/>
      </w:pPr>
      <w:r>
        <w:lastRenderedPageBreak/>
        <w:t>Drink water regularly throughout the day (approximately 8 glasses is recommended daily)</w:t>
      </w:r>
      <w:r>
        <w:rPr>
          <w:rFonts w:ascii="Arial" w:eastAsia="Arial" w:hAnsi="Arial" w:cs="Arial"/>
          <w:b/>
        </w:rPr>
        <w:t xml:space="preserve"> </w:t>
      </w:r>
    </w:p>
    <w:p w14:paraId="7B46918D" w14:textId="062248A7" w:rsidR="00E86746" w:rsidRDefault="00E86746" w:rsidP="00E86746">
      <w:pPr>
        <w:pStyle w:val="Subtitle"/>
        <w:rPr>
          <w:rFonts w:ascii="Arial" w:eastAsia="Arial" w:hAnsi="Arial" w:cs="Arial"/>
          <w:b/>
        </w:rPr>
      </w:pPr>
      <w:r>
        <w:t>Do not have facials, facial waxing, Glycolic or AHA peels, Liquid Nitrogen (dry ice) or laser treatments for 7 to 14 days after an injection with a Dermal Filler.</w:t>
      </w:r>
      <w:r>
        <w:rPr>
          <w:rFonts w:ascii="Arial" w:eastAsia="Arial" w:hAnsi="Arial" w:cs="Arial"/>
          <w:b/>
        </w:rPr>
        <w:t xml:space="preserve"> </w:t>
      </w:r>
    </w:p>
    <w:p w14:paraId="6C49DC39" w14:textId="6A67446B" w:rsidR="00E86746" w:rsidRPr="00E86746" w:rsidRDefault="00E86746" w:rsidP="00E86746">
      <w:pPr>
        <w:pStyle w:val="Subtitle"/>
      </w:pPr>
      <w:r>
        <w:t xml:space="preserve">Do not treat with </w:t>
      </w:r>
      <w:proofErr w:type="spellStart"/>
      <w:r>
        <w:t>Voluma</w:t>
      </w:r>
      <w:proofErr w:type="spellEnd"/>
      <w:r>
        <w:t xml:space="preserve"> XC a minimum of 4 weeks prior or post dental procedures.</w:t>
      </w:r>
    </w:p>
    <w:p w14:paraId="5D4AC4FC" w14:textId="77777777" w:rsidR="00E86746" w:rsidRDefault="00E86746" w:rsidP="00E86746">
      <w:pPr>
        <w:pStyle w:val="Subtitle"/>
      </w:pPr>
      <w:r>
        <w:t>Should you feel or see any lumps in the treated areas once the swelling has subsided, it is recommended that you gently massage the area carefully with clean fingers.</w:t>
      </w:r>
      <w:r>
        <w:rPr>
          <w:rFonts w:ascii="Arial" w:eastAsia="Arial" w:hAnsi="Arial" w:cs="Arial"/>
          <w:b/>
        </w:rPr>
        <w:t xml:space="preserve"> </w:t>
      </w:r>
    </w:p>
    <w:p w14:paraId="1873CDA4" w14:textId="77777777" w:rsidR="00E86746" w:rsidRDefault="00E86746" w:rsidP="00E86746">
      <w:pPr>
        <w:pStyle w:val="Subtitle"/>
      </w:pPr>
      <w:r>
        <w:t>Evidence shows that having a follow-up treatment before the product has fully dissipated will enhance the lasting effect.  Please be sure to consult your medical provider about recommendations for follow-up treatments.</w:t>
      </w:r>
      <w:r>
        <w:rPr>
          <w:rFonts w:ascii="Arial" w:eastAsia="Arial" w:hAnsi="Arial" w:cs="Arial"/>
          <w:b/>
        </w:rPr>
        <w:t xml:space="preserve"> </w:t>
      </w:r>
    </w:p>
    <w:p w14:paraId="2DA4DB1B" w14:textId="3812B2B7" w:rsidR="00E86746" w:rsidRDefault="00E86746" w:rsidP="00E86746">
      <w:pPr>
        <w:pStyle w:val="Subtitle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AA7055" wp14:editId="4BA46331">
                <wp:simplePos x="0" y="0"/>
                <wp:positionH relativeFrom="column">
                  <wp:posOffset>4962525</wp:posOffset>
                </wp:positionH>
                <wp:positionV relativeFrom="paragraph">
                  <wp:posOffset>-8882</wp:posOffset>
                </wp:positionV>
                <wp:extent cx="38100" cy="1524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52400"/>
                          <a:chOff x="0" y="0"/>
                          <a:chExt cx="38100" cy="152400"/>
                        </a:xfrm>
                      </wpg:grpSpPr>
                      <wps:wsp>
                        <wps:cNvPr id="2" name="Shape 1516"/>
                        <wps:cNvSpPr/>
                        <wps:spPr>
                          <a:xfrm>
                            <a:off x="0" y="0"/>
                            <a:ext cx="381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524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293AD" id="Group 1" o:spid="_x0000_s1026" style="position:absolute;margin-left:390.75pt;margin-top:-.7pt;width:3pt;height:12pt;z-index:-251656192" coordsize="38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">
                <v:shape id="Shape 1516" o:spid="_x0000_s1027" style="position:absolute;width:38100;height:152400;visibility:visible;mso-wrap-style:square;v-text-anchor:top" coordsize="381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" path="m,l38100,r,152400l,152400,,e" fillcolor="yellow" stroked="f" strokeweight="0">
                  <v:stroke miterlimit="83231f" joinstyle="miter"/>
                  <v:path arrowok="t" textboxrect="0,0,38100,152400"/>
                </v:shape>
              </v:group>
            </w:pict>
          </mc:Fallback>
        </mc:AlternateContent>
      </w:r>
      <w:r>
        <w:t xml:space="preserve">If you have any questions or concerns, please do not hesitate to contact </w:t>
      </w:r>
      <w:r>
        <w:t>our office at:</w:t>
      </w:r>
    </w:p>
    <w:p w14:paraId="405EE1B5" w14:textId="4AF57B3D" w:rsidR="00E86746" w:rsidRPr="00E86746" w:rsidRDefault="00E86746" w:rsidP="00E86746">
      <w:pPr>
        <w:pStyle w:val="Subtitle"/>
      </w:pPr>
      <w:r>
        <w:t>314-285-0337.</w:t>
      </w:r>
    </w:p>
    <w:p w14:paraId="455794D0" w14:textId="77777777" w:rsidR="00E86746" w:rsidRPr="00E86746" w:rsidRDefault="00E86746" w:rsidP="00E86746"/>
    <w:p w14:paraId="28765C13" w14:textId="77777777" w:rsidR="00E86746" w:rsidRPr="004305C6" w:rsidRDefault="00E86746" w:rsidP="004305C6">
      <w:pPr>
        <w:pStyle w:val="Subtitle"/>
      </w:pPr>
      <w:r w:rsidRPr="004305C6">
        <w:t xml:space="preserve"> </w:t>
      </w:r>
    </w:p>
    <w:p w14:paraId="5B66183E" w14:textId="77777777" w:rsidR="004305C6" w:rsidRPr="004305C6" w:rsidRDefault="00E86746" w:rsidP="004305C6">
      <w:pPr>
        <w:pStyle w:val="Subtitle"/>
      </w:pPr>
      <w:r w:rsidRPr="004305C6">
        <w:t xml:space="preserve"> </w:t>
      </w:r>
      <w:r w:rsidR="00E769DC" w:rsidRPr="004305C6">
        <w:t xml:space="preserve">Patient Signature:  </w:t>
      </w:r>
      <w:r w:rsidR="004305C6" w:rsidRPr="004305C6">
        <w:t>________________________________________________________</w:t>
      </w:r>
    </w:p>
    <w:p w14:paraId="49F0C455" w14:textId="77777777" w:rsidR="004305C6" w:rsidRPr="004305C6" w:rsidRDefault="004305C6" w:rsidP="004305C6">
      <w:pPr>
        <w:pStyle w:val="Subtitle"/>
      </w:pPr>
    </w:p>
    <w:p w14:paraId="28B25D1E" w14:textId="77777777" w:rsidR="004305C6" w:rsidRPr="004305C6" w:rsidRDefault="004305C6" w:rsidP="004305C6">
      <w:pPr>
        <w:pStyle w:val="Subtitle"/>
      </w:pPr>
      <w:r w:rsidRPr="004305C6">
        <w:t xml:space="preserve">Signature of Aesthetic </w:t>
      </w:r>
      <w:proofErr w:type="gramStart"/>
      <w:r w:rsidRPr="004305C6">
        <w:t>Provider:_</w:t>
      </w:r>
      <w:proofErr w:type="gramEnd"/>
      <w:r w:rsidRPr="004305C6">
        <w:t>_____________________________________________</w:t>
      </w:r>
    </w:p>
    <w:p w14:paraId="5FB70065" w14:textId="603919D1" w:rsidR="00E86746" w:rsidRPr="004305C6" w:rsidRDefault="004305C6" w:rsidP="00E86746">
      <w:pPr>
        <w:pStyle w:val="Subtitle"/>
        <w:rPr>
          <w:rStyle w:val="SubtleEmphasis"/>
        </w:rPr>
      </w:pPr>
      <w:r w:rsidRPr="004305C6">
        <w:rPr>
          <w:rStyle w:val="SubtleEmphasis"/>
        </w:rPr>
        <w:t xml:space="preserve">Jennifer </w:t>
      </w:r>
      <w:proofErr w:type="spellStart"/>
      <w:proofErr w:type="gramStart"/>
      <w:r w:rsidRPr="004305C6">
        <w:rPr>
          <w:rStyle w:val="SubtleEmphasis"/>
        </w:rPr>
        <w:t>M.McElfresh</w:t>
      </w:r>
      <w:proofErr w:type="spellEnd"/>
      <w:proofErr w:type="gramEnd"/>
      <w:r w:rsidRPr="004305C6">
        <w:rPr>
          <w:rStyle w:val="SubtleEmphasis"/>
        </w:rPr>
        <w:t>, M.S.N., ANP-BC</w:t>
      </w:r>
      <w:r w:rsidR="00E769DC" w:rsidRPr="004305C6">
        <w:rPr>
          <w:rStyle w:val="SubtleEmphasis"/>
        </w:rPr>
        <w:t xml:space="preserve">        </w:t>
      </w:r>
      <w:bookmarkStart w:id="0" w:name="_GoBack"/>
      <w:bookmarkEnd w:id="0"/>
    </w:p>
    <w:p w14:paraId="1139D1D2" w14:textId="315BF4ED" w:rsidR="00AB1F68" w:rsidRDefault="00AB1F68">
      <w:pPr>
        <w:spacing w:after="0" w:line="259" w:lineRule="auto"/>
        <w:ind w:left="0" w:firstLine="0"/>
        <w:jc w:val="both"/>
      </w:pPr>
    </w:p>
    <w:sectPr w:rsidR="00AB1F68">
      <w:pgSz w:w="12240" w:h="15840"/>
      <w:pgMar w:top="1448" w:right="1449" w:bottom="15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2B8C" w14:textId="77777777" w:rsidR="00E769DC" w:rsidRDefault="00E769DC" w:rsidP="00E769DC">
      <w:pPr>
        <w:spacing w:after="0" w:line="240" w:lineRule="auto"/>
      </w:pPr>
      <w:r>
        <w:separator/>
      </w:r>
    </w:p>
  </w:endnote>
  <w:endnote w:type="continuationSeparator" w:id="0">
    <w:p w14:paraId="7DF017EC" w14:textId="77777777" w:rsidR="00E769DC" w:rsidRDefault="00E769DC" w:rsidP="00E7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3586" w14:textId="77777777" w:rsidR="00E769DC" w:rsidRDefault="00E769DC" w:rsidP="00E769DC">
      <w:pPr>
        <w:spacing w:after="0" w:line="240" w:lineRule="auto"/>
      </w:pPr>
      <w:r>
        <w:separator/>
      </w:r>
    </w:p>
  </w:footnote>
  <w:footnote w:type="continuationSeparator" w:id="0">
    <w:p w14:paraId="023412EF" w14:textId="77777777" w:rsidR="00E769DC" w:rsidRDefault="00E769DC" w:rsidP="00E7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62B5"/>
    <w:multiLevelType w:val="hybridMultilevel"/>
    <w:tmpl w:val="F5F0A904"/>
    <w:lvl w:ilvl="0" w:tplc="77E4ED7C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CAF0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ACAF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6C60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9814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7AEF1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10B4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4493D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F6815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68"/>
    <w:rsid w:val="004305C6"/>
    <w:rsid w:val="00AB1F68"/>
    <w:rsid w:val="00E769DC"/>
    <w:rsid w:val="00E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1520C"/>
  <w15:docId w15:val="{EE6B1B1B-913F-458A-8DB8-44CD07CD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85" w:lineRule="auto"/>
      <w:ind w:left="370" w:hanging="37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E86746"/>
    <w:pPr>
      <w:numPr>
        <w:ilvl w:val="1"/>
      </w:numPr>
      <w:spacing w:after="160"/>
      <w:ind w:left="370" w:hanging="37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6746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305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 mcelfresh</dc:creator>
  <cp:keywords/>
  <cp:lastModifiedBy>shark mcelfresh</cp:lastModifiedBy>
  <cp:revision>2</cp:revision>
  <dcterms:created xsi:type="dcterms:W3CDTF">2020-05-27T00:19:00Z</dcterms:created>
  <dcterms:modified xsi:type="dcterms:W3CDTF">2020-05-27T00:19:00Z</dcterms:modified>
</cp:coreProperties>
</file>